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907C534">
        <w:tc>
          <w:tcPr>
            <w:tcW w:w="421" w:type="dxa"/>
            <w:shd w:val="clear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6E382758" w14:textId="2E561918" w:rsidR="00380802" w:rsidRPr="00B44583" w:rsidRDefault="00380802" w:rsidP="00B4458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OP</w:t>
            </w:r>
            <w:r w:rsidR="00B44583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  <w:r w:rsidR="006B7EA4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1458C852" w14:textId="77777777" w:rsidTr="0907C534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907C534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9254310" w:rsidR="00380802" w:rsidRPr="00B44583" w:rsidRDefault="00B44583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B4458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Movianto</w:t>
            </w:r>
            <w:proofErr w:type="spellEnd"/>
            <w:r w:rsidRPr="00B4458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(groupe </w:t>
            </w:r>
            <w:r w:rsidR="00E422FE" w:rsidRPr="00B4458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Walden</w:t>
            </w:r>
            <w:r w:rsidRPr="00B4458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)</w:t>
            </w:r>
          </w:p>
        </w:tc>
      </w:tr>
      <w:tr w:rsidR="00380802" w:rsidRPr="007A2B4F" w14:paraId="040BA6FD" w14:textId="77777777" w:rsidTr="0907C534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443CECF7" w:rsidR="00380802" w:rsidRPr="00EE612C" w:rsidRDefault="00E42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D3D5B">
              <w:rPr>
                <w:rFonts w:asciiTheme="minorHAnsi" w:hAnsiTheme="minorHAnsi" w:cstheme="minorHAnsi"/>
                <w:sz w:val="19"/>
                <w:szCs w:val="19"/>
              </w:rPr>
              <w:t>1951</w:t>
            </w:r>
          </w:p>
        </w:tc>
      </w:tr>
      <w:tr w:rsidR="00380802" w:rsidRPr="007A2B4F" w14:paraId="2B645F8A" w14:textId="77777777" w:rsidTr="0907C534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5534D87F" w:rsidR="00380802" w:rsidRPr="00EE612C" w:rsidRDefault="00E42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DD3D5B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Stéphane Baudry</w:t>
            </w:r>
          </w:p>
        </w:tc>
      </w:tr>
      <w:tr w:rsidR="00380802" w:rsidRPr="007A2B4F" w14:paraId="67CA71AC" w14:textId="77777777" w:rsidTr="0907C534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5D57646E" w:rsidR="00380802" w:rsidRPr="00EE612C" w:rsidRDefault="00E42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D3D5B">
              <w:rPr>
                <w:sz w:val="18"/>
                <w:szCs w:val="18"/>
              </w:rPr>
              <w:t>31 Rue de Fleurus, 75006 Paris</w:t>
            </w:r>
          </w:p>
        </w:tc>
      </w:tr>
      <w:tr w:rsidR="00380802" w:rsidRPr="007A2B4F" w14:paraId="48278407" w14:textId="77777777" w:rsidTr="0907C534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5DB00D9F" w:rsidR="00380802" w:rsidRPr="00EE612C" w:rsidRDefault="00E422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D3D5B">
              <w:rPr>
                <w:rFonts w:asciiTheme="minorHAnsi" w:hAnsiTheme="minorHAnsi" w:cstheme="minorHAnsi"/>
                <w:sz w:val="19"/>
                <w:szCs w:val="19"/>
              </w:rPr>
              <w:t>Stéphane Baudry</w:t>
            </w:r>
          </w:p>
        </w:tc>
      </w:tr>
      <w:tr w:rsidR="00E64CAF" w:rsidRPr="007A2B4F" w14:paraId="6CBE4DE9" w14:textId="77777777" w:rsidTr="0907C534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907C534" w:rsidP="0907C534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 xml:space="preserve">Nombre total de </w:t>
            </w:r>
            <w:r w:rsidRPr="0907C534">
              <w:rPr>
                <w:rFonts w:asciiTheme="minorHAnsi" w:hAnsiTheme="minorHAnsi" w:cstheme="minorBidi"/>
                <w:b/>
                <w:bCs/>
                <w:color w:val="000000" w:themeColor="text1"/>
                <w:sz w:val="19"/>
                <w:szCs w:val="19"/>
              </w:rPr>
              <w:t xml:space="preserve">salariés </w:t>
            </w:r>
            <w:r w:rsidRPr="0907C534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19DA001E" w:rsidR="00E64CAF" w:rsidRPr="00E422FE" w:rsidRDefault="0907C534" w:rsidP="0907C534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sz w:val="19"/>
                <w:szCs w:val="19"/>
              </w:rPr>
              <w:t xml:space="preserve">6 000 </w:t>
            </w:r>
          </w:p>
        </w:tc>
      </w:tr>
      <w:tr w:rsidR="00380802" w:rsidRPr="007A2B4F" w14:paraId="5B98BBC6" w14:textId="77777777" w:rsidTr="0907C534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0BF506" w14:textId="77777777" w:rsidR="00E422FE" w:rsidRPr="00DD3D5B" w:rsidRDefault="00E422FE" w:rsidP="00E422FE">
            <w:pPr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DD3D5B">
              <w:rPr>
                <w:rFonts w:asciiTheme="minorHAnsi" w:hAnsiTheme="minorHAnsi" w:cstheme="minorHAnsi"/>
                <w:sz w:val="19"/>
                <w:szCs w:val="19"/>
              </w:rPr>
              <w:t>O</w:t>
            </w:r>
          </w:p>
          <w:p w14:paraId="43C3CAFC" w14:textId="77777777" w:rsidR="00E422FE" w:rsidRPr="00DD3D5B" w:rsidRDefault="00E422FE" w:rsidP="00E422FE">
            <w:pPr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DD3D5B">
              <w:rPr>
                <w:rFonts w:asciiTheme="minorHAnsi" w:hAnsiTheme="minorHAnsi" w:cstheme="minorHAnsi"/>
                <w:sz w:val="19"/>
                <w:szCs w:val="19"/>
              </w:rPr>
              <w:t>O</w:t>
            </w:r>
          </w:p>
          <w:p w14:paraId="494EFD4A" w14:textId="77777777" w:rsidR="00E422FE" w:rsidRPr="00DD3D5B" w:rsidRDefault="00E422FE" w:rsidP="00E422FE">
            <w:pPr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DD3D5B">
              <w:rPr>
                <w:rFonts w:asciiTheme="minorHAnsi" w:hAnsiTheme="minorHAnsi" w:cstheme="minorHAnsi"/>
                <w:sz w:val="19"/>
                <w:szCs w:val="19"/>
              </w:rPr>
              <w:t>O</w:t>
            </w:r>
          </w:p>
          <w:p w14:paraId="7657CE41" w14:textId="77777777" w:rsidR="00E422FE" w:rsidRPr="00DD3D5B" w:rsidRDefault="00E422FE" w:rsidP="00E422FE">
            <w:pPr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DD3D5B">
              <w:rPr>
                <w:rFonts w:asciiTheme="minorHAnsi" w:hAnsiTheme="minorHAnsi" w:cstheme="minorHAnsi"/>
                <w:sz w:val="19"/>
                <w:szCs w:val="19"/>
              </w:rPr>
              <w:t>N</w:t>
            </w:r>
          </w:p>
          <w:p w14:paraId="5F18E581" w14:textId="77777777" w:rsidR="00380802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9296C24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907C534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907C534" w:rsidP="0907C534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Chiffre d’affaires 2023 (toutes activités)</w:t>
            </w:r>
          </w:p>
          <w:p w14:paraId="76983A76" w14:textId="2C2B9C42" w:rsidR="00380802" w:rsidRPr="00EE612C" w:rsidRDefault="0907C534" w:rsidP="0907C534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- en France ? (évolution p/r à 2022)</w:t>
            </w:r>
          </w:p>
          <w:p w14:paraId="4907B47B" w14:textId="17453B56" w:rsidR="00380802" w:rsidRPr="00EE612C" w:rsidRDefault="0907C534" w:rsidP="0907C534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- au niveau global ? (évolution p/r à 2022)</w:t>
            </w:r>
          </w:p>
        </w:tc>
        <w:tc>
          <w:tcPr>
            <w:tcW w:w="4962" w:type="dxa"/>
            <w:gridSpan w:val="2"/>
          </w:tcPr>
          <w:p w14:paraId="64F93D8B" w14:textId="055F0E0A" w:rsidR="00E422FE" w:rsidRPr="00DD3D5B" w:rsidRDefault="0907C534" w:rsidP="3713CA24">
            <w:pPr>
              <w:spacing w:after="0"/>
              <w:contextualSpacing/>
              <w:rPr>
                <w:rFonts w:asciiTheme="minorHAnsi" w:hAnsiTheme="minorHAnsi" w:cstheme="minorBidi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sz w:val="19"/>
                <w:szCs w:val="19"/>
              </w:rPr>
              <w:t>2.6 milliards</w:t>
            </w:r>
          </w:p>
          <w:p w14:paraId="48BAFC6D" w14:textId="65B1DCB7" w:rsidR="00E422FE" w:rsidRPr="00E422FE" w:rsidRDefault="0907C534" w:rsidP="0907C534">
            <w:pPr>
              <w:spacing w:after="0"/>
              <w:contextualSpacing/>
              <w:rPr>
                <w:rFonts w:asciiTheme="minorHAnsi" w:hAnsiTheme="minorHAnsi" w:cstheme="minorBidi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sz w:val="19"/>
                <w:szCs w:val="19"/>
              </w:rPr>
              <w:t>France :  1.1 milliards</w:t>
            </w:r>
          </w:p>
          <w:p w14:paraId="6EB0D03E" w14:textId="2884714B" w:rsidR="00380802" w:rsidRDefault="0907C534" w:rsidP="3713CA24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sz w:val="19"/>
                <w:szCs w:val="19"/>
              </w:rPr>
              <w:t>Autres : 1.5 milliards</w:t>
            </w:r>
          </w:p>
          <w:p w14:paraId="1031D8C8" w14:textId="77777777" w:rsidR="00C63CA2" w:rsidRPr="00EE612C" w:rsidRDefault="00C63CA2" w:rsidP="0907C534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907C534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65841492" w14:textId="61119085" w:rsidR="00E422FE" w:rsidRPr="00E422FE" w:rsidRDefault="0907C534" w:rsidP="0907C534">
            <w:pPr>
              <w:spacing w:after="0"/>
              <w:contextualSpacing/>
              <w:rPr>
                <w:rFonts w:asciiTheme="minorHAnsi" w:hAnsiTheme="minorHAnsi" w:cstheme="minorBidi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sz w:val="19"/>
                <w:szCs w:val="19"/>
              </w:rPr>
              <w:t>France 720 millions</w:t>
            </w:r>
          </w:p>
          <w:p w14:paraId="16500506" w14:textId="0B5AE6B8" w:rsidR="00380802" w:rsidRPr="00C63CA2" w:rsidRDefault="0907C534" w:rsidP="3713CA24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24"/>
                <w:szCs w:val="24"/>
              </w:rPr>
            </w:pPr>
            <w:r w:rsidRPr="0907C534">
              <w:rPr>
                <w:sz w:val="18"/>
                <w:szCs w:val="18"/>
              </w:rPr>
              <w:t>Monde : 1.404 milliards</w:t>
            </w: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907C534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1C1C18A7" w14:textId="4790C897" w:rsidR="00BD66CC" w:rsidRPr="00EE612C" w:rsidRDefault="0907C534" w:rsidP="0907C534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sz w:val="19"/>
                <w:szCs w:val="19"/>
              </w:rPr>
              <w:t>Royaume Uni ; Allemagne ; Danemark ; Espagne ; Belgique ; Pays Bas ; Suisse ; République Tchèque ; Slovaquie ; Pologne ; Irlande du Nord ; Roumanie ; Italie</w:t>
            </w:r>
          </w:p>
        </w:tc>
      </w:tr>
      <w:tr w:rsidR="00380802" w:rsidRPr="005262D2" w14:paraId="7421A932" w14:textId="77777777" w:rsidTr="0907C534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907C534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</w:p>
          <w:p w14:paraId="3A7FA94A" w14:textId="0A41C01F" w:rsidR="00E422FE" w:rsidRPr="00E422FE" w:rsidRDefault="0907C534" w:rsidP="0907C534">
            <w:pPr>
              <w:pStyle w:val="Paragraphedeliste"/>
              <w:numPr>
                <w:ilvl w:val="1"/>
                <w:numId w:val="9"/>
              </w:numPr>
              <w:spacing w:after="0"/>
              <w:ind w:left="342" w:hanging="270"/>
              <w:contextualSpacing/>
              <w:rPr>
                <w:rFonts w:asciiTheme="minorHAnsi" w:hAnsiTheme="minorHAnsi" w:cstheme="minorBidi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sz w:val="19"/>
                <w:szCs w:val="19"/>
              </w:rPr>
              <w:t xml:space="preserve">Acquisition des sociétés XCM Healthcare en Italie pour la partie logistique et </w:t>
            </w:r>
            <w:proofErr w:type="spellStart"/>
            <w:r w:rsidRPr="0907C534">
              <w:rPr>
                <w:rFonts w:asciiTheme="minorHAnsi" w:hAnsiTheme="minorHAnsi" w:cstheme="minorBidi"/>
                <w:sz w:val="19"/>
                <w:szCs w:val="19"/>
              </w:rPr>
              <w:t>Unitex</w:t>
            </w:r>
            <w:proofErr w:type="spellEnd"/>
            <w:r w:rsidRPr="0907C534">
              <w:rPr>
                <w:rFonts w:asciiTheme="minorHAnsi" w:hAnsiTheme="minorHAnsi" w:cstheme="minorBidi"/>
                <w:sz w:val="19"/>
                <w:szCs w:val="19"/>
              </w:rPr>
              <w:t xml:space="preserve"> pour la partie transport du dernier kilomètre pour les produits de santé et intégration aux réseaux internes Movianto &amp; Eurotranspharma, </w:t>
            </w:r>
          </w:p>
          <w:p w14:paraId="4E8E4B3B" w14:textId="3D788909" w:rsidR="00E422FE" w:rsidRPr="005262D2" w:rsidRDefault="0907C534" w:rsidP="0907C534">
            <w:pPr>
              <w:pStyle w:val="Paragraphedeliste"/>
              <w:numPr>
                <w:ilvl w:val="1"/>
                <w:numId w:val="9"/>
              </w:numPr>
              <w:spacing w:after="0"/>
              <w:ind w:left="342" w:hanging="270"/>
              <w:contextualSpacing/>
              <w:rPr>
                <w:rFonts w:asciiTheme="minorHAnsi" w:hAnsiTheme="minorHAnsi" w:cstheme="minorBidi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sz w:val="19"/>
                <w:szCs w:val="19"/>
              </w:rPr>
              <w:t xml:space="preserve">Acquisition de la société belge de </w:t>
            </w:r>
            <w:r w:rsidR="005E666F">
              <w:rPr>
                <w:rFonts w:asciiTheme="minorHAnsi" w:hAnsiTheme="minorHAnsi" w:cstheme="minorBidi"/>
                <w:sz w:val="19"/>
                <w:szCs w:val="19"/>
              </w:rPr>
              <w:t xml:space="preserve">fret </w:t>
            </w:r>
            <w:r w:rsidRPr="0907C534">
              <w:rPr>
                <w:rFonts w:asciiTheme="minorHAnsi" w:hAnsiTheme="minorHAnsi" w:cstheme="minorBidi"/>
                <w:sz w:val="19"/>
                <w:szCs w:val="19"/>
              </w:rPr>
              <w:t>pharmaceutique Ivemar</w:t>
            </w:r>
          </w:p>
          <w:p w14:paraId="702AEE2C" w14:textId="5671BE8F" w:rsidR="005262D2" w:rsidRDefault="005E666F" w:rsidP="0907C534">
            <w:pPr>
              <w:pStyle w:val="Paragraphedeliste"/>
              <w:numPr>
                <w:ilvl w:val="1"/>
                <w:numId w:val="9"/>
              </w:numPr>
              <w:spacing w:after="0"/>
              <w:ind w:left="342" w:hanging="270"/>
              <w:contextualSpacing/>
              <w:rPr>
                <w:rFonts w:asciiTheme="minorHAnsi" w:hAnsiTheme="minorHAnsi" w:cstheme="minorBidi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sz w:val="19"/>
                <w:szCs w:val="19"/>
              </w:rPr>
              <w:t>Création d’</w:t>
            </w:r>
            <w:proofErr w:type="spellStart"/>
            <w:r w:rsidRPr="0907C534">
              <w:rPr>
                <w:rFonts w:asciiTheme="minorHAnsi" w:hAnsiTheme="minorHAnsi" w:cstheme="minorBidi"/>
                <w:sz w:val="19"/>
                <w:szCs w:val="19"/>
              </w:rPr>
              <w:t>Eurotranspharma</w:t>
            </w:r>
            <w:proofErr w:type="spellEnd"/>
            <w:r w:rsidR="0907C534" w:rsidRPr="0907C534">
              <w:rPr>
                <w:rFonts w:asciiTheme="minorHAnsi" w:hAnsiTheme="minorHAnsi" w:cstheme="minorBidi"/>
                <w:sz w:val="19"/>
                <w:szCs w:val="19"/>
              </w:rPr>
              <w:t xml:space="preserve"> </w:t>
            </w:r>
            <w:proofErr w:type="spellStart"/>
            <w:r w:rsidR="0907C534" w:rsidRPr="0907C534">
              <w:rPr>
                <w:rFonts w:asciiTheme="minorHAnsi" w:hAnsiTheme="minorHAnsi" w:cstheme="minorBidi"/>
                <w:sz w:val="19"/>
                <w:szCs w:val="19"/>
              </w:rPr>
              <w:t>Deustchland</w:t>
            </w:r>
            <w:proofErr w:type="spellEnd"/>
            <w:r w:rsidR="0907C534" w:rsidRPr="0907C534">
              <w:rPr>
                <w:rFonts w:asciiTheme="minorHAnsi" w:hAnsiTheme="minorHAnsi" w:cstheme="minorBidi"/>
                <w:sz w:val="19"/>
                <w:szCs w:val="19"/>
              </w:rPr>
              <w:t xml:space="preserve"> p</w:t>
            </w:r>
            <w:r w:rsidR="00756A79">
              <w:rPr>
                <w:rFonts w:asciiTheme="minorHAnsi" w:hAnsiTheme="minorHAnsi" w:cstheme="minorBidi"/>
                <w:sz w:val="19"/>
                <w:szCs w:val="19"/>
              </w:rPr>
              <w:t>o</w:t>
            </w:r>
            <w:r w:rsidR="0907C534" w:rsidRPr="0907C534">
              <w:rPr>
                <w:rFonts w:asciiTheme="minorHAnsi" w:hAnsiTheme="minorHAnsi" w:cstheme="minorBidi"/>
                <w:sz w:val="19"/>
                <w:szCs w:val="19"/>
              </w:rPr>
              <w:t xml:space="preserve">ur le transport </w:t>
            </w:r>
            <w:r>
              <w:rPr>
                <w:rFonts w:asciiTheme="minorHAnsi" w:hAnsiTheme="minorHAnsi" w:cstheme="minorBidi"/>
                <w:sz w:val="19"/>
                <w:szCs w:val="19"/>
              </w:rPr>
              <w:t xml:space="preserve">dernier kilomètre </w:t>
            </w:r>
            <w:r w:rsidR="0907C534" w:rsidRPr="0907C534">
              <w:rPr>
                <w:rFonts w:asciiTheme="minorHAnsi" w:hAnsiTheme="minorHAnsi" w:cstheme="minorBidi"/>
                <w:sz w:val="19"/>
                <w:szCs w:val="19"/>
              </w:rPr>
              <w:t>de</w:t>
            </w:r>
            <w:r w:rsidR="00756A79">
              <w:rPr>
                <w:rFonts w:asciiTheme="minorHAnsi" w:hAnsiTheme="minorHAnsi" w:cstheme="minorBidi"/>
                <w:sz w:val="19"/>
                <w:szCs w:val="19"/>
              </w:rPr>
              <w:t>s</w:t>
            </w:r>
            <w:r w:rsidR="0907C534" w:rsidRPr="0907C534">
              <w:rPr>
                <w:rFonts w:asciiTheme="minorHAnsi" w:hAnsiTheme="minorHAnsi" w:cstheme="minorBidi"/>
                <w:sz w:val="19"/>
                <w:szCs w:val="19"/>
              </w:rPr>
              <w:t xml:space="preserve"> produit</w:t>
            </w:r>
            <w:r w:rsidR="00756A79">
              <w:rPr>
                <w:rFonts w:asciiTheme="minorHAnsi" w:hAnsiTheme="minorHAnsi" w:cstheme="minorBidi"/>
                <w:sz w:val="19"/>
                <w:szCs w:val="19"/>
              </w:rPr>
              <w:t>s</w:t>
            </w:r>
            <w:r w:rsidR="0907C534" w:rsidRPr="0907C534">
              <w:rPr>
                <w:rFonts w:asciiTheme="minorHAnsi" w:hAnsiTheme="minorHAnsi" w:cstheme="minorBidi"/>
                <w:sz w:val="19"/>
                <w:szCs w:val="19"/>
              </w:rPr>
              <w:t xml:space="preserve"> de santé</w:t>
            </w:r>
          </w:p>
          <w:p w14:paraId="3044C3F4" w14:textId="77777777" w:rsidR="005262D2" w:rsidRDefault="0907C534" w:rsidP="0907C534">
            <w:pPr>
              <w:pStyle w:val="Paragraphedeliste"/>
              <w:numPr>
                <w:ilvl w:val="1"/>
                <w:numId w:val="9"/>
              </w:numPr>
              <w:spacing w:after="0"/>
              <w:ind w:left="342" w:hanging="270"/>
              <w:contextualSpacing/>
              <w:rPr>
                <w:rFonts w:asciiTheme="minorHAnsi" w:hAnsiTheme="minorHAnsi" w:cstheme="minorBidi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sz w:val="19"/>
                <w:szCs w:val="19"/>
              </w:rPr>
              <w:t xml:space="preserve">Movianto en France : </w:t>
            </w:r>
          </w:p>
          <w:p w14:paraId="42DAFFC2" w14:textId="3B7C7296" w:rsidR="005262D2" w:rsidRPr="005262D2" w:rsidRDefault="0907C534" w:rsidP="0907C534">
            <w:pPr>
              <w:pStyle w:val="Paragraphedeliste"/>
              <w:numPr>
                <w:ilvl w:val="1"/>
                <w:numId w:val="9"/>
              </w:numPr>
              <w:spacing w:after="0"/>
              <w:contextualSpacing/>
              <w:rPr>
                <w:rFonts w:asciiTheme="minorHAnsi" w:hAnsiTheme="minorHAnsi" w:cstheme="minorBidi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sz w:val="19"/>
                <w:szCs w:val="19"/>
              </w:rPr>
              <w:t>Livraison d’un nouveau bâtiment de 36 000 m² avec une capacité de stockage de 21 000 palettes en ambiant et 15 000 palettes en +2°C /+8°C à Moussy-le-Neuf (à proximité de notre site existant et de l’aéroport de Roissy-Charles-de Gaulle)</w:t>
            </w:r>
          </w:p>
          <w:p w14:paraId="7645C086" w14:textId="07B60E03" w:rsidR="005262D2" w:rsidRDefault="0907C534" w:rsidP="0907C534">
            <w:pPr>
              <w:pStyle w:val="Paragraphedeliste"/>
              <w:numPr>
                <w:ilvl w:val="1"/>
                <w:numId w:val="9"/>
              </w:numPr>
              <w:spacing w:after="0"/>
              <w:contextualSpacing/>
              <w:rPr>
                <w:rFonts w:asciiTheme="minorHAnsi" w:hAnsiTheme="minorHAnsi" w:cstheme="minorBidi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sz w:val="19"/>
                <w:szCs w:val="19"/>
              </w:rPr>
              <w:t xml:space="preserve">Obtention de la médaille d’Or </w:t>
            </w:r>
            <w:proofErr w:type="spellStart"/>
            <w:r w:rsidRPr="0907C534">
              <w:rPr>
                <w:rFonts w:asciiTheme="minorHAnsi" w:hAnsiTheme="minorHAnsi" w:cstheme="minorBidi"/>
                <w:sz w:val="19"/>
                <w:szCs w:val="19"/>
              </w:rPr>
              <w:t>Ecovadis</w:t>
            </w:r>
            <w:proofErr w:type="spellEnd"/>
            <w:r w:rsidRPr="0907C534">
              <w:rPr>
                <w:rFonts w:asciiTheme="minorHAnsi" w:hAnsiTheme="minorHAnsi" w:cstheme="minorBidi"/>
                <w:sz w:val="19"/>
                <w:szCs w:val="19"/>
              </w:rPr>
              <w:t xml:space="preserve"> pour </w:t>
            </w:r>
            <w:proofErr w:type="spellStart"/>
            <w:r w:rsidRPr="0907C534">
              <w:rPr>
                <w:rFonts w:asciiTheme="minorHAnsi" w:hAnsiTheme="minorHAnsi" w:cstheme="minorBidi"/>
                <w:sz w:val="19"/>
                <w:szCs w:val="19"/>
              </w:rPr>
              <w:t>Movianto</w:t>
            </w:r>
            <w:proofErr w:type="spellEnd"/>
            <w:r w:rsidR="00756A79">
              <w:rPr>
                <w:rFonts w:asciiTheme="minorHAnsi" w:hAnsiTheme="minorHAnsi" w:cstheme="minorBidi"/>
                <w:sz w:val="19"/>
                <w:szCs w:val="19"/>
              </w:rPr>
              <w:t xml:space="preserve"> en France</w:t>
            </w:r>
          </w:p>
          <w:p w14:paraId="528BB3A1" w14:textId="35DB9F4A" w:rsidR="00BD66CC" w:rsidRPr="008B2F2C" w:rsidRDefault="0907C534" w:rsidP="0907C534">
            <w:pPr>
              <w:pStyle w:val="Paragraphedeliste"/>
              <w:numPr>
                <w:ilvl w:val="1"/>
                <w:numId w:val="9"/>
              </w:num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sz w:val="19"/>
                <w:szCs w:val="19"/>
              </w:rPr>
              <w:t xml:space="preserve">Développement de la marque employeur et lancement d’une enquête de satisfaction et d’engagement auprès du label Great Place To Work </w:t>
            </w:r>
          </w:p>
          <w:p w14:paraId="5476FF01" w14:textId="3DB006E6" w:rsidR="00BD66CC" w:rsidRPr="001B72E7" w:rsidRDefault="0907C534" w:rsidP="0907C534">
            <w:pPr>
              <w:pStyle w:val="Paragraphedeliste"/>
              <w:numPr>
                <w:ilvl w:val="1"/>
                <w:numId w:val="9"/>
              </w:num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sz w:val="19"/>
                <w:szCs w:val="19"/>
              </w:rPr>
              <w:lastRenderedPageBreak/>
              <w:t xml:space="preserve">Recrutement et nomination de Nicolas Virmoux au poste de Directeur Général Délégué à l’Expérience Client </w:t>
            </w:r>
          </w:p>
        </w:tc>
      </w:tr>
      <w:tr w:rsidR="00380802" w:rsidRPr="007A2B4F" w14:paraId="5E10DB94" w14:textId="77777777" w:rsidTr="0907C534">
        <w:tc>
          <w:tcPr>
            <w:tcW w:w="421" w:type="dxa"/>
            <w:shd w:val="clear" w:color="auto" w:fill="auto"/>
          </w:tcPr>
          <w:p w14:paraId="4A64C937" w14:textId="77777777" w:rsidR="00380802" w:rsidRPr="005262D2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907C534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6C7DAE6A" w:rsidR="00380802" w:rsidRPr="00EE612C" w:rsidRDefault="0025651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D3D5B"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72</w:t>
            </w:r>
            <w:r w:rsidRPr="00DD3D5B">
              <w:rPr>
                <w:rFonts w:asciiTheme="minorHAnsi" w:hAnsiTheme="minorHAnsi" w:cstheme="minorHAnsi"/>
                <w:sz w:val="19"/>
                <w:szCs w:val="19"/>
              </w:rPr>
              <w:t> 000 m² d’établissement pharmaceutique</w:t>
            </w:r>
          </w:p>
        </w:tc>
      </w:tr>
      <w:tr w:rsidR="00380802" w:rsidRPr="007A2B4F" w14:paraId="4E6E3B6D" w14:textId="77777777" w:rsidTr="0907C534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907C534" w:rsidP="0907C534">
            <w:pPr>
              <w:spacing w:after="0"/>
              <w:contextualSpacing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b/>
                <w:bCs/>
                <w:color w:val="000000" w:themeColor="text1"/>
                <w:sz w:val="19"/>
                <w:szCs w:val="19"/>
              </w:rPr>
              <w:t>Nombre d’entrepôts</w:t>
            </w:r>
            <w:r w:rsidRPr="0907C534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 xml:space="preserve"> en France</w:t>
            </w:r>
          </w:p>
          <w:p w14:paraId="6FFF3340" w14:textId="77777777" w:rsidR="00811908" w:rsidRPr="00EE612C" w:rsidRDefault="0907C534" w:rsidP="0907C534">
            <w:pPr>
              <w:spacing w:after="0"/>
              <w:ind w:left="33"/>
              <w:contextualSpacing/>
              <w:rPr>
                <w:rFonts w:asciiTheme="minorHAnsi" w:hAnsiTheme="minorHAnsi" w:cstheme="minorBidi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sz w:val="19"/>
                <w:szCs w:val="19"/>
              </w:rPr>
              <w:t>Indiquez, le cas échéant, la ou les régions dans lesquelles votre activité logistique se concentre</w:t>
            </w:r>
          </w:p>
        </w:tc>
        <w:tc>
          <w:tcPr>
            <w:tcW w:w="3544" w:type="dxa"/>
          </w:tcPr>
          <w:p w14:paraId="0C63DB25" w14:textId="64C2FC09" w:rsidR="00256518" w:rsidRPr="00256518" w:rsidRDefault="0907C534" w:rsidP="0907C534">
            <w:pPr>
              <w:pStyle w:val="Paragraphedeliste"/>
              <w:numPr>
                <w:ilvl w:val="0"/>
                <w:numId w:val="11"/>
              </w:numPr>
              <w:spacing w:after="0"/>
              <w:contextualSpacing/>
              <w:rPr>
                <w:rFonts w:asciiTheme="minorHAnsi" w:hAnsiTheme="minorHAnsi" w:cstheme="minorBidi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sz w:val="19"/>
                <w:szCs w:val="19"/>
              </w:rPr>
              <w:t xml:space="preserve">Région parisienne (122 000 m²) </w:t>
            </w:r>
          </w:p>
          <w:p w14:paraId="6DDADD80" w14:textId="77777777" w:rsidR="00256518" w:rsidRPr="00DD3D5B" w:rsidRDefault="0907C534" w:rsidP="0907C534">
            <w:pPr>
              <w:pStyle w:val="Paragraphedeliste"/>
              <w:numPr>
                <w:ilvl w:val="0"/>
                <w:numId w:val="11"/>
              </w:numPr>
              <w:spacing w:after="0"/>
              <w:contextualSpacing/>
              <w:rPr>
                <w:rFonts w:asciiTheme="minorHAnsi" w:hAnsiTheme="minorHAnsi" w:cstheme="minorBidi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sz w:val="19"/>
                <w:szCs w:val="19"/>
              </w:rPr>
              <w:t xml:space="preserve">Région Centre (40 000 m²) </w:t>
            </w:r>
          </w:p>
          <w:p w14:paraId="3517002B" w14:textId="424F2C21" w:rsidR="00BD66CC" w:rsidRPr="00B44583" w:rsidRDefault="0907C534" w:rsidP="0907C534">
            <w:pPr>
              <w:pStyle w:val="Paragraphedeliste"/>
              <w:numPr>
                <w:ilvl w:val="0"/>
                <w:numId w:val="11"/>
              </w:numPr>
              <w:spacing w:after="0"/>
              <w:contextualSpacing/>
              <w:rPr>
                <w:rFonts w:asciiTheme="minorHAnsi" w:hAnsiTheme="minorHAnsi" w:cstheme="minorBidi"/>
                <w:sz w:val="19"/>
                <w:szCs w:val="19"/>
              </w:rPr>
            </w:pPr>
            <w:r w:rsidRPr="0907C534">
              <w:rPr>
                <w:rFonts w:asciiTheme="minorHAnsi" w:hAnsiTheme="minorHAnsi" w:cstheme="minorBidi"/>
                <w:sz w:val="19"/>
                <w:szCs w:val="19"/>
              </w:rPr>
              <w:t xml:space="preserve">Région Rhône-Alpes-Auvergne : (110 000 m²) </w:t>
            </w:r>
          </w:p>
        </w:tc>
      </w:tr>
      <w:tr w:rsidR="00357C35" w:rsidRPr="007A2B4F" w14:paraId="09353DF6" w14:textId="77777777" w:rsidTr="0907C534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0048F03E" w14:textId="71D14DD4" w:rsidR="00BD66CC" w:rsidRPr="00B44583" w:rsidRDefault="00256518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DD3D5B">
              <w:rPr>
                <w:rFonts w:asciiTheme="minorHAnsi" w:hAnsiTheme="minorHAnsi" w:cstheme="minorHAnsi"/>
                <w:sz w:val="19"/>
                <w:szCs w:val="19"/>
              </w:rPr>
              <w:t>L’ensemble de nos chaînes de préparation sont mécanisées et partiellement automatisées. Nous disposons également de 2 chaînes 100 % automatisées de technologie « Good to Person »</w:t>
            </w:r>
          </w:p>
        </w:tc>
      </w:tr>
      <w:tr w:rsidR="00380802" w:rsidRPr="007A2B4F" w14:paraId="3C393512" w14:textId="77777777" w:rsidTr="0907C534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16DE126F" w:rsidR="00BD66CC" w:rsidRPr="00EE612C" w:rsidRDefault="0025651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1850</w:t>
            </w:r>
          </w:p>
        </w:tc>
      </w:tr>
      <w:tr w:rsidR="00380802" w:rsidRPr="007A2B4F" w14:paraId="2C29042A" w14:textId="77777777" w:rsidTr="0907C534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0499AA5F" w14:textId="77777777" w:rsidR="00256518" w:rsidRDefault="00256518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646B59" w14:textId="77777777" w:rsidR="00256518" w:rsidRDefault="00256518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62293C3" w14:textId="142AE373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BD51A06" w14:textId="77777777" w:rsidR="00256518" w:rsidRDefault="00256518" w:rsidP="00256518">
            <w:pPr>
              <w:spacing w:after="0"/>
              <w:rPr>
                <w:rFonts w:cs="Calibri"/>
                <w:sz w:val="18"/>
                <w:szCs w:val="18"/>
              </w:rPr>
            </w:pPr>
          </w:p>
          <w:p w14:paraId="73B2BAA4" w14:textId="77777777" w:rsidR="00256518" w:rsidRDefault="00256518" w:rsidP="00256518">
            <w:pPr>
              <w:spacing w:after="0"/>
              <w:rPr>
                <w:rFonts w:cs="Calibri"/>
                <w:sz w:val="18"/>
                <w:szCs w:val="18"/>
              </w:rPr>
            </w:pPr>
          </w:p>
          <w:p w14:paraId="17F0CD61" w14:textId="77777777" w:rsidR="00256518" w:rsidRDefault="00256518" w:rsidP="00256518">
            <w:pPr>
              <w:spacing w:after="0"/>
              <w:rPr>
                <w:rFonts w:cs="Calibri"/>
                <w:sz w:val="18"/>
                <w:szCs w:val="18"/>
              </w:rPr>
            </w:pPr>
          </w:p>
          <w:p w14:paraId="0897FA0A" w14:textId="77777777" w:rsidR="00256518" w:rsidRDefault="00256518" w:rsidP="00256518">
            <w:pPr>
              <w:spacing w:after="0"/>
              <w:rPr>
                <w:rFonts w:cs="Calibri"/>
                <w:sz w:val="18"/>
                <w:szCs w:val="18"/>
              </w:rPr>
            </w:pPr>
          </w:p>
          <w:p w14:paraId="57BC1E87" w14:textId="017DE95F" w:rsidR="00256518" w:rsidRPr="00DD3D5B" w:rsidRDefault="005E666F" w:rsidP="00256518">
            <w:p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cs="Calibri"/>
                <w:sz w:val="18"/>
                <w:szCs w:val="18"/>
              </w:rPr>
              <w:t xml:space="preserve">Distribution spécialisée - </w:t>
            </w:r>
            <w:r w:rsidR="00256518" w:rsidRPr="00DD3D5B">
              <w:rPr>
                <w:rFonts w:cs="Calibri"/>
                <w:sz w:val="18"/>
                <w:szCs w:val="18"/>
              </w:rPr>
              <w:t xml:space="preserve">Oui </w:t>
            </w:r>
          </w:p>
          <w:p w14:paraId="66EC0BAA" w14:textId="77777777" w:rsidR="00256518" w:rsidRPr="00DD3D5B" w:rsidRDefault="00256518" w:rsidP="00256518">
            <w:p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88864CF" w14:textId="6AAFC715" w:rsidR="00256518" w:rsidRPr="00DD3D5B" w:rsidRDefault="005E666F" w:rsidP="002565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Temp dirigée - </w:t>
            </w:r>
            <w:r w:rsidR="00256518" w:rsidRPr="00DD3D5B">
              <w:rPr>
                <w:rFonts w:cs="Calibri"/>
                <w:sz w:val="18"/>
                <w:szCs w:val="18"/>
              </w:rPr>
              <w:t xml:space="preserve">Oui =&gt; 15°C/25°C ; +2°C/+8°C ; - 21 °C </w:t>
            </w:r>
            <w:r w:rsidR="00256518" w:rsidRPr="00DD3D5B">
              <w:rPr>
                <w:rFonts w:cs="Calibri"/>
                <w:sz w:val="18"/>
                <w:szCs w:val="18"/>
              </w:rPr>
              <w:br/>
              <w:t xml:space="preserve"> </w:t>
            </w:r>
          </w:p>
          <w:p w14:paraId="739009D3" w14:textId="77777777" w:rsidR="00256518" w:rsidRPr="00DD3D5B" w:rsidRDefault="00256518" w:rsidP="00256518">
            <w:p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7D5DF6E" w14:textId="77777777" w:rsidR="00256518" w:rsidRPr="00DD3D5B" w:rsidRDefault="00256518" w:rsidP="00256518">
            <w:p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2E981DC" w14:textId="77777777" w:rsidR="00256518" w:rsidRPr="00DD3D5B" w:rsidRDefault="00256518" w:rsidP="00256518">
            <w:p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327BB5A" w14:textId="77777777" w:rsidR="00256518" w:rsidRPr="00DD3D5B" w:rsidRDefault="00256518" w:rsidP="00256518">
            <w:p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64B2ACA" w14:textId="77777777" w:rsidR="00256518" w:rsidRPr="00DD3D5B" w:rsidRDefault="00256518" w:rsidP="00256518">
            <w:p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CB5389C" w14:textId="40D4C713" w:rsidR="00256518" w:rsidRPr="00DD3D5B" w:rsidRDefault="00256518" w:rsidP="002565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D3D5B">
              <w:rPr>
                <w:rFonts w:cs="Calibri"/>
                <w:sz w:val="18"/>
                <w:szCs w:val="18"/>
              </w:rPr>
              <w:t>OUI pour la cosmétique</w:t>
            </w:r>
            <w:r w:rsidR="005E666F">
              <w:rPr>
                <w:rFonts w:cs="Calibri"/>
                <w:sz w:val="18"/>
                <w:szCs w:val="18"/>
              </w:rPr>
              <w:t>/parapharmacie</w:t>
            </w:r>
          </w:p>
          <w:p w14:paraId="2F499F7A" w14:textId="77777777" w:rsidR="00256518" w:rsidRPr="00DD3D5B" w:rsidRDefault="00256518" w:rsidP="002565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D3D5B">
              <w:rPr>
                <w:rFonts w:cs="Calibri"/>
                <w:sz w:val="18"/>
                <w:szCs w:val="18"/>
              </w:rPr>
              <w:t>OUI – Pharmacie / parapharmacie / paramédical, dont 92 % en température dirigée (15°C/25°C) et 8 % (+2°C/+8°C)</w:t>
            </w:r>
          </w:p>
          <w:p w14:paraId="3677C6E4" w14:textId="77777777" w:rsidR="00256518" w:rsidRDefault="00256518" w:rsidP="00256518">
            <w:p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A59F379" w14:textId="77777777" w:rsidR="00256518" w:rsidRDefault="00256518" w:rsidP="00256518">
            <w:p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6C925DC" w14:textId="77777777" w:rsidR="00256518" w:rsidRPr="00DD3D5B" w:rsidRDefault="00256518" w:rsidP="00256518">
            <w:p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C15DBD1" w14:textId="77777777" w:rsidR="00256518" w:rsidRPr="005E666F" w:rsidRDefault="00256518" w:rsidP="00256518">
            <w:pPr>
              <w:spacing w:after="0"/>
              <w:rPr>
                <w:rFonts w:cs="Calibri"/>
                <w:sz w:val="18"/>
                <w:szCs w:val="18"/>
              </w:rPr>
            </w:pPr>
            <w:r w:rsidRPr="005E666F">
              <w:rPr>
                <w:rFonts w:cs="Calibri"/>
                <w:sz w:val="18"/>
                <w:szCs w:val="18"/>
              </w:rPr>
              <w:t>Appareils médicaux</w:t>
            </w:r>
          </w:p>
          <w:p w14:paraId="0D41B0D1" w14:textId="2A9F1EB7" w:rsidR="009D162B" w:rsidRPr="00EE612C" w:rsidRDefault="00256518" w:rsidP="00C63CA2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D3D5B">
              <w:rPr>
                <w:rFonts w:cs="Calibri"/>
                <w:sz w:val="18"/>
                <w:szCs w:val="18"/>
              </w:rPr>
              <w:t xml:space="preserve">Dispositifs médicaux et la nutrition clinique </w:t>
            </w:r>
          </w:p>
        </w:tc>
      </w:tr>
      <w:tr w:rsidR="00475FB9" w:rsidRPr="007A2B4F" w14:paraId="7D3245ED" w14:textId="77777777" w:rsidTr="0907C534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462B0FC0" w:rsidR="00475FB9" w:rsidRDefault="0025651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3839EDFD" w14:textId="4B6F2D87" w:rsidR="00256518" w:rsidRDefault="0025651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</w:t>
            </w:r>
          </w:p>
          <w:p w14:paraId="4AA6D47B" w14:textId="2B6D2013" w:rsidR="009D162B" w:rsidRPr="00EE612C" w:rsidRDefault="00256518" w:rsidP="0025651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</w:tc>
      </w:tr>
      <w:tr w:rsidR="00380802" w:rsidRPr="00B44583" w14:paraId="0BA7027B" w14:textId="77777777" w:rsidTr="0907C534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AE1DA00" w:rsidR="00760E42" w:rsidRPr="00B44583" w:rsidRDefault="00B803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de-DE"/>
              </w:rPr>
            </w:pPr>
            <w:r w:rsidRPr="00B44583">
              <w:rPr>
                <w:rFonts w:cs="Calibri"/>
                <w:sz w:val="18"/>
                <w:szCs w:val="18"/>
                <w:lang w:val="de-DE"/>
              </w:rPr>
              <w:t>Amgen- Biogen</w:t>
            </w:r>
            <w:r w:rsidR="00F33312" w:rsidRPr="00B44583">
              <w:rPr>
                <w:rFonts w:cs="Calibri"/>
                <w:sz w:val="18"/>
                <w:szCs w:val="18"/>
                <w:lang w:val="de-DE"/>
              </w:rPr>
              <w:t>,</w:t>
            </w:r>
            <w:r w:rsidRPr="00B44583">
              <w:rPr>
                <w:lang w:val="de-DE"/>
              </w:rPr>
              <w:t xml:space="preserve"> </w:t>
            </w:r>
            <w:r w:rsidR="00256518" w:rsidRPr="00B44583">
              <w:rPr>
                <w:rFonts w:cs="Calibri"/>
                <w:sz w:val="18"/>
                <w:szCs w:val="18"/>
                <w:lang w:val="de-DE"/>
              </w:rPr>
              <w:t xml:space="preserve">Pfizer, </w:t>
            </w:r>
            <w:proofErr w:type="spellStart"/>
            <w:r w:rsidR="00256518" w:rsidRPr="00B44583">
              <w:rPr>
                <w:rFonts w:cs="Calibri"/>
                <w:sz w:val="18"/>
                <w:szCs w:val="18"/>
                <w:lang w:val="de-DE"/>
              </w:rPr>
              <w:t>Viatris</w:t>
            </w:r>
            <w:proofErr w:type="spellEnd"/>
            <w:r w:rsidR="00256518" w:rsidRPr="00B44583">
              <w:rPr>
                <w:rFonts w:cs="Calibri"/>
                <w:sz w:val="18"/>
                <w:szCs w:val="18"/>
                <w:lang w:val="de-DE"/>
              </w:rPr>
              <w:t xml:space="preserve">, Novo Nordisk, </w:t>
            </w:r>
            <w:proofErr w:type="spellStart"/>
            <w:r w:rsidR="00256518" w:rsidRPr="00B44583">
              <w:rPr>
                <w:rFonts w:cs="Calibri"/>
                <w:sz w:val="18"/>
                <w:szCs w:val="18"/>
                <w:lang w:val="de-DE"/>
              </w:rPr>
              <w:t>Biogaran</w:t>
            </w:r>
            <w:proofErr w:type="spellEnd"/>
            <w:r w:rsidR="00256518" w:rsidRPr="00B44583">
              <w:rPr>
                <w:rFonts w:cs="Calibri"/>
                <w:sz w:val="18"/>
                <w:szCs w:val="18"/>
                <w:lang w:val="de-DE"/>
              </w:rPr>
              <w:t>, Teva</w:t>
            </w:r>
          </w:p>
        </w:tc>
      </w:tr>
      <w:tr w:rsidR="00380802" w:rsidRPr="007A2B4F" w14:paraId="126E8B52" w14:textId="77777777" w:rsidTr="0907C534">
        <w:tc>
          <w:tcPr>
            <w:tcW w:w="421" w:type="dxa"/>
            <w:tcBorders>
              <w:bottom w:val="single" w:sz="4" w:space="0" w:color="000000" w:themeColor="text1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 w:themeColor="text1"/>
            </w:tcBorders>
          </w:tcPr>
          <w:p w14:paraId="73F0521D" w14:textId="02C9F1D5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235F19D3" w14:textId="67D8D860" w:rsidR="009D162B" w:rsidRPr="00EE612C" w:rsidRDefault="00B803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10 nouveaux clients </w:t>
            </w:r>
          </w:p>
        </w:tc>
      </w:tr>
      <w:tr w:rsidR="00380802" w:rsidRPr="007A2B4F" w14:paraId="3815592F" w14:textId="77777777" w:rsidTr="0907C534">
        <w:tc>
          <w:tcPr>
            <w:tcW w:w="421" w:type="dxa"/>
            <w:shd w:val="clear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8B2F2C" w:rsidRPr="007A2B4F" w14:paraId="4B865452" w14:textId="77777777" w:rsidTr="0907C534">
        <w:tc>
          <w:tcPr>
            <w:tcW w:w="421" w:type="dxa"/>
          </w:tcPr>
          <w:p w14:paraId="260B1EF1" w14:textId="77777777" w:rsidR="008B2F2C" w:rsidRPr="003B3B28" w:rsidRDefault="008B2F2C" w:rsidP="008B2F2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8B2F2C" w:rsidRPr="00EE612C" w:rsidRDefault="008B2F2C" w:rsidP="008B2F2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8B2F2C" w:rsidRPr="00EE612C" w:rsidRDefault="008B2F2C" w:rsidP="008B2F2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32843E00" w14:textId="77777777" w:rsidR="008B2F2C" w:rsidRPr="00DD3D5B" w:rsidRDefault="008B2F2C" w:rsidP="008B2F2C">
            <w:pPr>
              <w:spacing w:after="0"/>
              <w:rPr>
                <w:sz w:val="18"/>
                <w:szCs w:val="18"/>
              </w:rPr>
            </w:pPr>
            <w:r w:rsidRPr="00DD3D5B">
              <w:rPr>
                <w:sz w:val="18"/>
                <w:szCs w:val="18"/>
              </w:rPr>
              <w:t>Oui</w:t>
            </w:r>
          </w:p>
          <w:p w14:paraId="03DCDFE7" w14:textId="77777777" w:rsidR="008B2F2C" w:rsidRPr="00EE61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B2F2C" w:rsidRPr="007A2B4F" w14:paraId="147097C5" w14:textId="77777777" w:rsidTr="0907C534">
        <w:tc>
          <w:tcPr>
            <w:tcW w:w="421" w:type="dxa"/>
          </w:tcPr>
          <w:p w14:paraId="7B5D987D" w14:textId="77777777" w:rsidR="008B2F2C" w:rsidRPr="003B3B28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8B2F2C" w:rsidRPr="003B3B28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8B2F2C" w:rsidRPr="00EE61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8B2F2C" w:rsidRPr="00EE61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164B66BC" w14:textId="77777777" w:rsidR="008B2F2C" w:rsidRPr="00DD3D5B" w:rsidRDefault="008B2F2C" w:rsidP="008B2F2C">
            <w:pPr>
              <w:spacing w:after="0"/>
              <w:rPr>
                <w:sz w:val="18"/>
                <w:szCs w:val="18"/>
              </w:rPr>
            </w:pPr>
            <w:r w:rsidRPr="00DD3D5B">
              <w:rPr>
                <w:sz w:val="18"/>
                <w:szCs w:val="18"/>
              </w:rPr>
              <w:t xml:space="preserve">Oui, depuis toujours </w:t>
            </w:r>
          </w:p>
          <w:p w14:paraId="65B100E1" w14:textId="77777777" w:rsidR="008B2F2C" w:rsidRPr="00DD3D5B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DD3D5B">
              <w:rPr>
                <w:sz w:val="18"/>
                <w:szCs w:val="18"/>
              </w:rPr>
              <w:t>Oui, depuis 1984</w:t>
            </w:r>
          </w:p>
          <w:p w14:paraId="09E795F5" w14:textId="77777777" w:rsidR="008B2F2C" w:rsidRPr="00EE61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B2F2C" w:rsidRPr="007A2B4F" w14:paraId="7056BC16" w14:textId="77777777" w:rsidTr="0907C534">
        <w:tc>
          <w:tcPr>
            <w:tcW w:w="421" w:type="dxa"/>
          </w:tcPr>
          <w:p w14:paraId="3E7B2A25" w14:textId="77777777" w:rsidR="008B2F2C" w:rsidRPr="003B3B28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8B2F2C" w:rsidRPr="00EE61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B2F2C" w:rsidRPr="00EE61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179A742D" w:rsidR="008B2F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A184688" w14:textId="77777777" w:rsidR="008B2F2C" w:rsidRPr="00EE61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B2F2C" w:rsidRPr="007A2B4F" w14:paraId="3E9DA7B3" w14:textId="77777777" w:rsidTr="0907C534">
        <w:tc>
          <w:tcPr>
            <w:tcW w:w="421" w:type="dxa"/>
          </w:tcPr>
          <w:p w14:paraId="4A7A9712" w14:textId="77777777" w:rsidR="008B2F2C" w:rsidRPr="003B3B28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8B2F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8B2F2C" w:rsidRPr="00EE61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- Si oui, sur combien de sites ?</w:t>
            </w:r>
          </w:p>
        </w:tc>
        <w:tc>
          <w:tcPr>
            <w:tcW w:w="3544" w:type="dxa"/>
          </w:tcPr>
          <w:p w14:paraId="29369189" w14:textId="44D487F8" w:rsidR="008B2F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Oui</w:t>
            </w:r>
          </w:p>
          <w:p w14:paraId="134E4466" w14:textId="3CA2AB96" w:rsidR="008B2F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3</w:t>
            </w:r>
          </w:p>
          <w:p w14:paraId="2D7A0EFC" w14:textId="77777777" w:rsidR="008B2F2C" w:rsidRPr="00EE61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B2F2C" w:rsidRPr="007A2B4F" w14:paraId="02CF0D49" w14:textId="77777777" w:rsidTr="0907C534">
        <w:tc>
          <w:tcPr>
            <w:tcW w:w="421" w:type="dxa"/>
          </w:tcPr>
          <w:p w14:paraId="413742D0" w14:textId="77777777" w:rsidR="008B2F2C" w:rsidRPr="003B3B28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8B2F2C" w:rsidRPr="00EE61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8B2F2C" w:rsidRPr="00EE61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0E1D59F7" w14:textId="25B040E0" w:rsidR="008B2F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71103E4" w14:textId="48BDE525" w:rsidR="008B2F2C" w:rsidRPr="00EE61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D3D5B">
              <w:rPr>
                <w:rFonts w:asciiTheme="minorHAnsi" w:hAnsiTheme="minorHAnsi" w:cstheme="minorHAnsi"/>
                <w:sz w:val="19"/>
                <w:szCs w:val="19"/>
              </w:rPr>
              <w:t>Gestion des retours produits pharmaceutiques, rappels de lot. Gestion des retours E-commerce via Relais Colis et retour professionnels vi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a</w:t>
            </w:r>
            <w:r w:rsidRPr="00DD3D5B">
              <w:rPr>
                <w:rFonts w:asciiTheme="minorHAnsi" w:hAnsiTheme="minorHAnsi" w:cstheme="minorHAnsi"/>
                <w:sz w:val="19"/>
                <w:szCs w:val="19"/>
              </w:rPr>
              <w:t xml:space="preserve"> service d’échange sur le réseau professionnel Ciblex.</w:t>
            </w:r>
          </w:p>
        </w:tc>
      </w:tr>
      <w:tr w:rsidR="008B2F2C" w:rsidRPr="007A2B4F" w14:paraId="0152BC8B" w14:textId="77777777" w:rsidTr="0907C534">
        <w:tc>
          <w:tcPr>
            <w:tcW w:w="421" w:type="dxa"/>
            <w:tcBorders>
              <w:bottom w:val="single" w:sz="4" w:space="0" w:color="000000" w:themeColor="text1"/>
            </w:tcBorders>
          </w:tcPr>
          <w:p w14:paraId="5C3D599F" w14:textId="77777777" w:rsidR="008B2F2C" w:rsidRPr="003B3B28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 w:themeColor="text1"/>
            </w:tcBorders>
          </w:tcPr>
          <w:p w14:paraId="38A41A22" w14:textId="77777777" w:rsidR="008B2F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8B2F2C" w:rsidRPr="00271B3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1D3CA3C1" w14:textId="1276FCAE" w:rsidR="008B2F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A62F4B6" w14:textId="316DF259" w:rsidR="008B2F2C" w:rsidRPr="00EE61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8B2F2C" w:rsidRPr="007A2B4F" w14:paraId="190098FD" w14:textId="77777777" w:rsidTr="0907C534">
        <w:tc>
          <w:tcPr>
            <w:tcW w:w="421" w:type="dxa"/>
            <w:tcBorders>
              <w:bottom w:val="single" w:sz="4" w:space="0" w:color="000000" w:themeColor="text1"/>
            </w:tcBorders>
          </w:tcPr>
          <w:p w14:paraId="2234B8F4" w14:textId="7A567ECE" w:rsidR="008B2F2C" w:rsidRPr="003B3B28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 w:themeColor="text1"/>
            </w:tcBorders>
          </w:tcPr>
          <w:p w14:paraId="5BA82EEC" w14:textId="245590C6" w:rsidR="008B2F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5E1CFC1C" w14:textId="534F5EC6" w:rsidR="008B2F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8B2F2C" w:rsidRPr="007A2B4F" w14:paraId="2E9C8117" w14:textId="77777777" w:rsidTr="0907C534">
        <w:tc>
          <w:tcPr>
            <w:tcW w:w="421" w:type="dxa"/>
          </w:tcPr>
          <w:p w14:paraId="5E17CC7A" w14:textId="69ED2E5A" w:rsidR="008B2F2C" w:rsidRPr="003B3B28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8B2F2C" w:rsidRPr="003B3B28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8B2F2C" w:rsidRPr="003B3B28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8B2F2C" w:rsidRPr="003B3B28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8B2F2C" w:rsidRPr="00EE61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8B2F2C" w:rsidRPr="00EE61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8B2F2C" w:rsidRPr="00EE61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52351539" w14:textId="77777777" w:rsidR="008B2F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60753792" w14:textId="18EF16E0" w:rsidR="008B2F2C" w:rsidRDefault="0907C534" w:rsidP="008B2F2C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r w:rsidRPr="0907C534">
              <w:rPr>
                <w:rFonts w:cs="Calibri"/>
                <w:sz w:val="18"/>
                <w:szCs w:val="18"/>
              </w:rPr>
              <w:t xml:space="preserve">Nous renforçons le recrutement sur les fonctions supports et la logistique soit un recrutement de 50 personnes (préparateurs de commandes, amélioration continue, caristes, service clients, pharmaciens Industrie et Affaires Règlementaires). </w:t>
            </w:r>
          </w:p>
          <w:p w14:paraId="0BE1C1A5" w14:textId="77777777" w:rsidR="008B2F2C" w:rsidRPr="00B44583" w:rsidRDefault="008B2F2C" w:rsidP="008B2F2C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  <w:p w14:paraId="3385C9D3" w14:textId="0FC53B55" w:rsidR="008B2F2C" w:rsidRPr="00B44583" w:rsidRDefault="0907C534" w:rsidP="008B2F2C">
            <w:pPr>
              <w:spacing w:after="0"/>
              <w:contextualSpacing/>
              <w:rPr>
                <w:rFonts w:asciiTheme="minorHAnsi" w:hAnsiTheme="minorHAnsi" w:cstheme="minorBidi"/>
                <w:sz w:val="19"/>
                <w:szCs w:val="19"/>
              </w:rPr>
            </w:pPr>
            <w:r w:rsidRPr="00B44583">
              <w:rPr>
                <w:rFonts w:asciiTheme="minorHAnsi" w:hAnsiTheme="minorHAnsi" w:cstheme="minorBidi"/>
                <w:sz w:val="19"/>
                <w:szCs w:val="19"/>
              </w:rPr>
              <w:t>Et plus globalement, nous avons 160 postes en</w:t>
            </w:r>
            <w:r w:rsidR="005E666F" w:rsidRPr="00B44583">
              <w:rPr>
                <w:rFonts w:asciiTheme="minorHAnsi" w:hAnsiTheme="minorHAnsi" w:cstheme="minorBidi"/>
                <w:sz w:val="19"/>
                <w:szCs w:val="19"/>
              </w:rPr>
              <w:t xml:space="preserve"> recrutement en</w:t>
            </w:r>
            <w:r w:rsidRPr="00B44583">
              <w:rPr>
                <w:rFonts w:asciiTheme="minorHAnsi" w:hAnsiTheme="minorHAnsi" w:cstheme="minorBidi"/>
                <w:sz w:val="19"/>
                <w:szCs w:val="19"/>
              </w:rPr>
              <w:t xml:space="preserve"> Europe.</w:t>
            </w:r>
          </w:p>
        </w:tc>
      </w:tr>
      <w:tr w:rsidR="008B2F2C" w:rsidRPr="007A2B4F" w14:paraId="766F28CA" w14:textId="77777777" w:rsidTr="0907C534">
        <w:tc>
          <w:tcPr>
            <w:tcW w:w="421" w:type="dxa"/>
            <w:shd w:val="clear" w:color="auto" w:fill="auto"/>
          </w:tcPr>
          <w:p w14:paraId="4511163D" w14:textId="77777777" w:rsidR="008B2F2C" w:rsidRPr="003B3B28" w:rsidRDefault="008B2F2C" w:rsidP="008B2F2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3B8EF58E" w14:textId="7399EF19" w:rsidR="008B2F2C" w:rsidRPr="009404E9" w:rsidRDefault="008B2F2C" w:rsidP="008B2F2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8B2F2C" w:rsidRPr="007A2B4F" w14:paraId="2C3278EC" w14:textId="77777777" w:rsidTr="0907C534">
        <w:trPr>
          <w:trHeight w:val="1907"/>
        </w:trPr>
        <w:tc>
          <w:tcPr>
            <w:tcW w:w="421" w:type="dxa"/>
          </w:tcPr>
          <w:p w14:paraId="217CD647" w14:textId="6262CF43" w:rsidR="008B2F2C" w:rsidRPr="003B3B28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8B2F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8B2F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8B2F2C" w:rsidRPr="00434EBD" w:rsidRDefault="008B2F2C" w:rsidP="008B2F2C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8B2F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8B2F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8B2F2C" w:rsidRPr="00434EBD" w:rsidRDefault="008B2F2C" w:rsidP="008B2F2C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8B2F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8B2F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8B2F2C" w:rsidRPr="00434EBD" w:rsidRDefault="008B2F2C" w:rsidP="008B2F2C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8B2F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8B2F2C" w:rsidRPr="00434EBD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8B2F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8B2F2C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4D9C7AB9" w14:textId="77777777" w:rsidR="008B2F2C" w:rsidRPr="00B80332" w:rsidRDefault="008B2F2C" w:rsidP="008B2F2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7A518C48" w14:textId="77777777" w:rsidR="006134F2" w:rsidRPr="006134F2" w:rsidRDefault="000530C0" w:rsidP="006134F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bookmarkStart w:id="0" w:name="_Hlk166589226"/>
            <w:r w:rsidRPr="006134F2">
              <w:rPr>
                <w:rFonts w:asciiTheme="minorHAnsi" w:hAnsiTheme="minorHAnsi" w:cstheme="minorHAnsi"/>
                <w:sz w:val="19"/>
                <w:szCs w:val="19"/>
              </w:rPr>
              <w:t>Movianto</w:t>
            </w:r>
            <w:r w:rsidR="006134F2" w:rsidRPr="006134F2">
              <w:rPr>
                <w:rFonts w:asciiTheme="minorHAnsi" w:hAnsiTheme="minorHAnsi" w:cstheme="minorHAnsi"/>
                <w:sz w:val="19"/>
                <w:szCs w:val="19"/>
              </w:rPr>
              <w:t xml:space="preserve"> (France)</w:t>
            </w:r>
            <w:r w:rsidRPr="006134F2">
              <w:rPr>
                <w:rFonts w:asciiTheme="minorHAnsi" w:hAnsiTheme="minorHAnsi" w:cstheme="minorHAnsi"/>
                <w:sz w:val="19"/>
                <w:szCs w:val="19"/>
              </w:rPr>
              <w:t xml:space="preserve"> : </w:t>
            </w:r>
          </w:p>
          <w:p w14:paraId="6BAE2AE0" w14:textId="1C81EE6B" w:rsidR="008B2F2C" w:rsidRDefault="000530C0" w:rsidP="00B80332">
            <w:pPr>
              <w:pStyle w:val="Paragraphedeliste"/>
              <w:numPr>
                <w:ilvl w:val="0"/>
                <w:numId w:val="12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c</w:t>
            </w:r>
            <w:r w:rsidR="008B2F2C" w:rsidRPr="00B80332">
              <w:rPr>
                <w:rFonts w:asciiTheme="minorHAnsi" w:hAnsiTheme="minorHAnsi" w:cstheme="minorHAnsi"/>
                <w:sz w:val="19"/>
                <w:szCs w:val="19"/>
              </w:rPr>
              <w:t xml:space="preserve">réation du pôle </w:t>
            </w:r>
            <w:r w:rsidR="00B80332" w:rsidRPr="00B80332">
              <w:rPr>
                <w:rFonts w:asciiTheme="minorHAnsi" w:hAnsiTheme="minorHAnsi" w:cstheme="minorHAnsi"/>
                <w:sz w:val="19"/>
                <w:szCs w:val="19"/>
              </w:rPr>
              <w:t>Expérience Client avec pour objectif d’améliorer la satisfaction client et de mieux appréhender les besoins de nos clients laboratoires et destinataires.</w:t>
            </w:r>
          </w:p>
          <w:p w14:paraId="1ADAF4F0" w14:textId="52693F2C" w:rsidR="000530C0" w:rsidRDefault="006134F2" w:rsidP="00B80332">
            <w:pPr>
              <w:pStyle w:val="Paragraphedeliste"/>
              <w:numPr>
                <w:ilvl w:val="0"/>
                <w:numId w:val="12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La </w:t>
            </w:r>
            <w:r w:rsidRPr="006134F2">
              <w:rPr>
                <w:rFonts w:asciiTheme="minorHAnsi" w:hAnsiTheme="minorHAnsi" w:cstheme="minorHAnsi"/>
                <w:sz w:val="19"/>
                <w:szCs w:val="19"/>
              </w:rPr>
              <w:t xml:space="preserve"> gouvernance KAM/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afin de renforcer la p</w:t>
            </w:r>
            <w:r w:rsidRPr="006134F2">
              <w:rPr>
                <w:rFonts w:asciiTheme="minorHAnsi" w:hAnsiTheme="minorHAnsi" w:cstheme="minorHAnsi"/>
                <w:sz w:val="19"/>
                <w:szCs w:val="19"/>
              </w:rPr>
              <w:t xml:space="preserve">roximité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et l’</w:t>
            </w:r>
            <w:r w:rsidRPr="006134F2">
              <w:rPr>
                <w:rFonts w:asciiTheme="minorHAnsi" w:hAnsiTheme="minorHAnsi" w:cstheme="minorHAnsi"/>
                <w:sz w:val="19"/>
                <w:szCs w:val="19"/>
              </w:rPr>
              <w:t>analyse des besoins spéciaux de chacun des destinataires de nos clients.</w:t>
            </w:r>
          </w:p>
          <w:p w14:paraId="3E24E8F2" w14:textId="06F8E394" w:rsidR="006134F2" w:rsidRDefault="006134F2" w:rsidP="005A4FF0">
            <w:pPr>
              <w:pStyle w:val="Paragraphedeliste"/>
              <w:numPr>
                <w:ilvl w:val="0"/>
                <w:numId w:val="12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6134F2">
              <w:rPr>
                <w:rFonts w:asciiTheme="minorHAnsi" w:hAnsiTheme="minorHAnsi" w:cstheme="minorHAnsi"/>
                <w:sz w:val="19"/>
                <w:szCs w:val="19"/>
              </w:rPr>
              <w:t xml:space="preserve">Le déploiement d’un nouveau CRM avec la gestion des flux d’information du fabricant au client final  </w:t>
            </w:r>
          </w:p>
          <w:p w14:paraId="3AE6CBA9" w14:textId="77777777" w:rsidR="006134F2" w:rsidRDefault="006134F2" w:rsidP="006134F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B905209" w14:textId="5812B4D3" w:rsidR="006134F2" w:rsidRPr="006134F2" w:rsidRDefault="006134F2" w:rsidP="006134F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Walden :</w:t>
            </w:r>
          </w:p>
          <w:bookmarkEnd w:id="0"/>
          <w:p w14:paraId="3ED27DD7" w14:textId="044C9124" w:rsidR="008B2F2C" w:rsidRPr="00B44583" w:rsidRDefault="006134F2" w:rsidP="008B2F2C">
            <w:pPr>
              <w:pStyle w:val="Paragraphedeliste"/>
              <w:numPr>
                <w:ilvl w:val="0"/>
                <w:numId w:val="12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Renforcement de notre offre européenne avec l’entrée sur le marché italien et le développement du réseau </w:t>
            </w:r>
            <w:proofErr w:type="spellStart"/>
            <w:r>
              <w:rPr>
                <w:rFonts w:asciiTheme="minorHAnsi" w:hAnsiTheme="minorHAnsi" w:cstheme="minorHAnsi"/>
                <w:sz w:val="19"/>
                <w:szCs w:val="19"/>
              </w:rPr>
              <w:t>Eurotranspharma</w:t>
            </w:r>
            <w:proofErr w:type="spellEnd"/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en Allemagne</w:t>
            </w:r>
          </w:p>
        </w:tc>
      </w:tr>
      <w:tr w:rsidR="008B2F2C" w:rsidRPr="007A2B4F" w14:paraId="5E5DB455" w14:textId="77777777" w:rsidTr="0907C534">
        <w:tc>
          <w:tcPr>
            <w:tcW w:w="421" w:type="dxa"/>
            <w:shd w:val="clear" w:color="auto" w:fill="auto"/>
          </w:tcPr>
          <w:p w14:paraId="3A147092" w14:textId="77777777" w:rsidR="008B2F2C" w:rsidRPr="003B3B28" w:rsidRDefault="008B2F2C" w:rsidP="008B2F2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3D2F65B5" w14:textId="0868BF1D" w:rsidR="008B2F2C" w:rsidRPr="007A2B4F" w:rsidRDefault="008B2F2C" w:rsidP="008B2F2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3AF715F0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2D5"/>
    <w:multiLevelType w:val="hybridMultilevel"/>
    <w:tmpl w:val="9B942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F426B3"/>
    <w:multiLevelType w:val="hybridMultilevel"/>
    <w:tmpl w:val="9B0CA2FC"/>
    <w:lvl w:ilvl="0" w:tplc="040C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4AF60498"/>
    <w:multiLevelType w:val="hybridMultilevel"/>
    <w:tmpl w:val="DADA732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4E152D"/>
    <w:multiLevelType w:val="hybridMultilevel"/>
    <w:tmpl w:val="DB4EE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7"/>
  </w:num>
  <w:num w:numId="2" w16cid:durableId="263460493">
    <w:abstractNumId w:val="11"/>
  </w:num>
  <w:num w:numId="3" w16cid:durableId="2105563683">
    <w:abstractNumId w:val="10"/>
  </w:num>
  <w:num w:numId="4" w16cid:durableId="572351804">
    <w:abstractNumId w:val="1"/>
  </w:num>
  <w:num w:numId="5" w16cid:durableId="328140967">
    <w:abstractNumId w:val="8"/>
  </w:num>
  <w:num w:numId="6" w16cid:durableId="646974709">
    <w:abstractNumId w:val="6"/>
  </w:num>
  <w:num w:numId="7" w16cid:durableId="1814715793">
    <w:abstractNumId w:val="2"/>
  </w:num>
  <w:num w:numId="8" w16cid:durableId="1236471263">
    <w:abstractNumId w:val="3"/>
  </w:num>
  <w:num w:numId="9" w16cid:durableId="1609388925">
    <w:abstractNumId w:val="0"/>
  </w:num>
  <w:num w:numId="10" w16cid:durableId="565798199">
    <w:abstractNumId w:val="4"/>
  </w:num>
  <w:num w:numId="11" w16cid:durableId="651328898">
    <w:abstractNumId w:val="9"/>
  </w:num>
  <w:num w:numId="12" w16cid:durableId="1545289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530C0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660E3"/>
    <w:rsid w:val="0017130C"/>
    <w:rsid w:val="00183E61"/>
    <w:rsid w:val="00186EEF"/>
    <w:rsid w:val="001A087D"/>
    <w:rsid w:val="001A0F5D"/>
    <w:rsid w:val="001A2E9B"/>
    <w:rsid w:val="001A4C8A"/>
    <w:rsid w:val="001B72E7"/>
    <w:rsid w:val="001C0D7B"/>
    <w:rsid w:val="001C6DA4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56518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227B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262D2"/>
    <w:rsid w:val="00537EE4"/>
    <w:rsid w:val="00562A95"/>
    <w:rsid w:val="00567957"/>
    <w:rsid w:val="00570599"/>
    <w:rsid w:val="00573B7B"/>
    <w:rsid w:val="00580FD4"/>
    <w:rsid w:val="0059591C"/>
    <w:rsid w:val="005B6717"/>
    <w:rsid w:val="005E666F"/>
    <w:rsid w:val="005F3605"/>
    <w:rsid w:val="005F3D87"/>
    <w:rsid w:val="00607D47"/>
    <w:rsid w:val="00607DC1"/>
    <w:rsid w:val="006134F2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B7EA4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56A79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981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2F2C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4583"/>
    <w:rsid w:val="00B462A6"/>
    <w:rsid w:val="00B55EB9"/>
    <w:rsid w:val="00B63AB5"/>
    <w:rsid w:val="00B70403"/>
    <w:rsid w:val="00B71C31"/>
    <w:rsid w:val="00B77B3A"/>
    <w:rsid w:val="00B80332"/>
    <w:rsid w:val="00B8373E"/>
    <w:rsid w:val="00B90F8C"/>
    <w:rsid w:val="00B95BF7"/>
    <w:rsid w:val="00B97806"/>
    <w:rsid w:val="00BA028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CF12D9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422FE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33312"/>
    <w:rsid w:val="00F50467"/>
    <w:rsid w:val="00F80E66"/>
    <w:rsid w:val="00F82365"/>
    <w:rsid w:val="00F83E66"/>
    <w:rsid w:val="00FE01B5"/>
    <w:rsid w:val="00FF255B"/>
    <w:rsid w:val="0907C534"/>
    <w:rsid w:val="3713C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7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bf861c-c4c6-40cb-be36-182cee0709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0FB259C584043AFBFC68CF566E43C" ma:contentTypeVersion="16" ma:contentTypeDescription="Create a new document." ma:contentTypeScope="" ma:versionID="af630317f76bc297a46fbc5a2d799814">
  <xsd:schema xmlns:xsd="http://www.w3.org/2001/XMLSchema" xmlns:xs="http://www.w3.org/2001/XMLSchema" xmlns:p="http://schemas.microsoft.com/office/2006/metadata/properties" xmlns:ns3="9322e4d0-2417-4216-9336-b326cba5aaef" xmlns:ns4="0ebf861c-c4c6-40cb-be36-182cee07097e" targetNamespace="http://schemas.microsoft.com/office/2006/metadata/properties" ma:root="true" ma:fieldsID="e21d8914c856acc936fff8a7df656299" ns3:_="" ns4:_="">
    <xsd:import namespace="9322e4d0-2417-4216-9336-b326cba5aaef"/>
    <xsd:import namespace="0ebf861c-c4c6-40cb-be36-182cee0709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2e4d0-2417-4216-9336-b326cba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f861c-c4c6-40cb-be36-182cee070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EDD55-6F6D-46CF-8037-61415BC3354B}">
  <ds:schemaRefs>
    <ds:schemaRef ds:uri="http://schemas.microsoft.com/office/2006/metadata/properties"/>
    <ds:schemaRef ds:uri="http://schemas.microsoft.com/office/infopath/2007/PartnerControls"/>
    <ds:schemaRef ds:uri="0ebf861c-c4c6-40cb-be36-182cee07097e"/>
  </ds:schemaRefs>
</ds:datastoreItem>
</file>

<file path=customXml/itemProps2.xml><?xml version="1.0" encoding="utf-8"?>
<ds:datastoreItem xmlns:ds="http://schemas.openxmlformats.org/officeDocument/2006/customXml" ds:itemID="{3EC9FC3A-FF8E-447D-9C7B-D19A9E5ED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53CBB-3D3F-4605-9709-76E480C66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2e4d0-2417-4216-9336-b326cba5aaef"/>
    <ds:schemaRef ds:uri="0ebf861c-c4c6-40cb-be36-182cee070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4A47F4-FA3D-40AE-96AF-D7EC3FB3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</cp:revision>
  <cp:lastPrinted>2024-05-21T10:12:00Z</cp:lastPrinted>
  <dcterms:created xsi:type="dcterms:W3CDTF">2024-05-22T12:58:00Z</dcterms:created>
  <dcterms:modified xsi:type="dcterms:W3CDTF">2024-06-19T15:00:00Z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0x01010085E0FB259C584043AFBFC68CF566E43C</vt:lpwstr>
  </property>
</Properties>
</file>